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CC" w:rsidRPr="005D57C9" w:rsidRDefault="005D57C9">
      <w:pPr>
        <w:spacing w:line="24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股票</w:t>
      </w:r>
      <w:r w:rsidR="004A2A4D" w:rsidRPr="005D57C9">
        <w:rPr>
          <w:rFonts w:ascii="宋体" w:hAnsi="宋体" w:hint="eastAsia"/>
          <w:sz w:val="24"/>
          <w:szCs w:val="24"/>
        </w:rPr>
        <w:t xml:space="preserve">代码：600100  </w:t>
      </w:r>
      <w:r w:rsidR="00955F54" w:rsidRPr="005D57C9">
        <w:rPr>
          <w:rFonts w:ascii="宋体" w:hAnsi="宋体"/>
          <w:sz w:val="24"/>
          <w:szCs w:val="24"/>
        </w:rPr>
        <w:t xml:space="preserve">        </w:t>
      </w:r>
      <w:r w:rsidR="004A2A4D" w:rsidRPr="005D57C9">
        <w:rPr>
          <w:rFonts w:ascii="宋体" w:hAnsi="宋体" w:hint="eastAsia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股票</w:t>
      </w:r>
      <w:r w:rsidR="00955F54" w:rsidRPr="005D57C9">
        <w:rPr>
          <w:rFonts w:ascii="宋体" w:hAnsi="宋体" w:hint="eastAsia"/>
          <w:sz w:val="24"/>
          <w:szCs w:val="24"/>
        </w:rPr>
        <w:t>简称：同方股份</w:t>
      </w:r>
      <w:r w:rsidR="004A2A4D" w:rsidRPr="005D57C9">
        <w:rPr>
          <w:rFonts w:ascii="宋体" w:hAnsi="宋体" w:hint="eastAsia"/>
          <w:sz w:val="24"/>
          <w:szCs w:val="24"/>
        </w:rPr>
        <w:t xml:space="preserve">      </w:t>
      </w:r>
      <w:r w:rsidR="00955F54" w:rsidRPr="005D57C9">
        <w:rPr>
          <w:rFonts w:ascii="宋体" w:hAnsi="宋体"/>
          <w:sz w:val="24"/>
          <w:szCs w:val="24"/>
        </w:rPr>
        <w:t xml:space="preserve">   </w:t>
      </w:r>
      <w:r w:rsidR="001111F0" w:rsidRPr="005D57C9">
        <w:rPr>
          <w:rFonts w:ascii="宋体" w:hAnsi="宋体" w:hint="eastAsia"/>
          <w:sz w:val="24"/>
          <w:szCs w:val="24"/>
        </w:rPr>
        <w:t>公告</w:t>
      </w:r>
      <w:r w:rsidR="004A2A4D" w:rsidRPr="005D57C9">
        <w:rPr>
          <w:rFonts w:ascii="宋体" w:hAnsi="宋体" w:hint="eastAsia"/>
          <w:sz w:val="24"/>
          <w:szCs w:val="24"/>
        </w:rPr>
        <w:t>编号：临20</w:t>
      </w:r>
      <w:r w:rsidR="004F494B">
        <w:rPr>
          <w:rFonts w:ascii="宋体" w:hAnsi="宋体" w:hint="eastAsia"/>
          <w:sz w:val="24"/>
          <w:szCs w:val="24"/>
        </w:rPr>
        <w:t>2</w:t>
      </w:r>
      <w:r w:rsidR="007437C5">
        <w:rPr>
          <w:rFonts w:ascii="宋体" w:hAnsi="宋体" w:hint="eastAsia"/>
          <w:sz w:val="24"/>
          <w:szCs w:val="24"/>
        </w:rPr>
        <w:t>1</w:t>
      </w:r>
      <w:r w:rsidR="001E2147" w:rsidRPr="005D57C9">
        <w:rPr>
          <w:rFonts w:ascii="宋体" w:hAnsi="宋体" w:hint="eastAsia"/>
          <w:sz w:val="24"/>
          <w:szCs w:val="24"/>
        </w:rPr>
        <w:t>-</w:t>
      </w:r>
      <w:r w:rsidR="00922A06">
        <w:rPr>
          <w:rFonts w:ascii="宋体" w:hAnsi="宋体"/>
          <w:sz w:val="24"/>
          <w:szCs w:val="24"/>
        </w:rPr>
        <w:t>004</w:t>
      </w:r>
    </w:p>
    <w:p w:rsidR="00D15E83" w:rsidRPr="000E6007" w:rsidRDefault="00D15E83" w:rsidP="00D15E83">
      <w:pPr>
        <w:rPr>
          <w:rFonts w:asciiTheme="minorEastAsia" w:eastAsiaTheme="minorEastAsia" w:hAnsiTheme="minorEastAsia"/>
          <w:sz w:val="24"/>
          <w:szCs w:val="24"/>
        </w:rPr>
      </w:pPr>
      <w:r w:rsidRPr="008357F4">
        <w:rPr>
          <w:rFonts w:cs="宋体" w:hint="eastAsia"/>
          <w:sz w:val="24"/>
          <w:szCs w:val="24"/>
        </w:rPr>
        <w:t>债券代</w:t>
      </w:r>
      <w:r w:rsidRPr="008357F4">
        <w:rPr>
          <w:rFonts w:hint="eastAsia"/>
          <w:sz w:val="24"/>
          <w:szCs w:val="24"/>
        </w:rPr>
        <w:t>码</w:t>
      </w:r>
      <w:r w:rsidRPr="008357F4">
        <w:rPr>
          <w:sz w:val="24"/>
          <w:szCs w:val="24"/>
        </w:rPr>
        <w:t>：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155782</w:t>
      </w:r>
      <w:r w:rsidRPr="000E6007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0E6007">
        <w:rPr>
          <w:rFonts w:asciiTheme="minorEastAsia" w:eastAsiaTheme="minorEastAsia" w:hAnsiTheme="minorEastAsia"/>
          <w:color w:val="333333"/>
          <w:shd w:val="clear" w:color="auto" w:fill="FFFFFF"/>
        </w:rPr>
        <w:t xml:space="preserve">  </w:t>
      </w:r>
      <w:r w:rsidR="00BC3458" w:rsidRPr="000E6007">
        <w:rPr>
          <w:rFonts w:asciiTheme="minorEastAsia" w:eastAsiaTheme="minorEastAsia" w:hAnsiTheme="minorEastAsia"/>
          <w:color w:val="333333"/>
          <w:shd w:val="clear" w:color="auto" w:fill="FFFFFF"/>
        </w:rPr>
        <w:t xml:space="preserve">     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债券简称</w:t>
      </w:r>
      <w:r w:rsidRPr="000E6007">
        <w:rPr>
          <w:rFonts w:asciiTheme="minorEastAsia" w:eastAsiaTheme="minorEastAsia" w:hAnsiTheme="minorEastAsia"/>
          <w:sz w:val="24"/>
          <w:szCs w:val="24"/>
        </w:rPr>
        <w:t>：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19同方01</w:t>
      </w:r>
    </w:p>
    <w:p w:rsidR="00D15E83" w:rsidRPr="000E6007" w:rsidRDefault="00D15E83" w:rsidP="00D15E83">
      <w:pPr>
        <w:rPr>
          <w:rFonts w:asciiTheme="minorEastAsia" w:eastAsiaTheme="minorEastAsia" w:hAnsiTheme="minorEastAsia"/>
          <w:sz w:val="24"/>
          <w:szCs w:val="24"/>
        </w:rPr>
      </w:pPr>
      <w:r w:rsidRPr="000E6007">
        <w:rPr>
          <w:rFonts w:asciiTheme="minorEastAsia" w:eastAsiaTheme="minorEastAsia" w:hAnsiTheme="minorEastAsia" w:cs="宋体" w:hint="eastAsia"/>
          <w:sz w:val="24"/>
          <w:szCs w:val="24"/>
        </w:rPr>
        <w:t>债券代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码</w:t>
      </w:r>
      <w:r w:rsidRPr="000E6007">
        <w:rPr>
          <w:rFonts w:asciiTheme="minorEastAsia" w:eastAsiaTheme="minorEastAsia" w:hAnsiTheme="minorEastAsia"/>
          <w:sz w:val="24"/>
          <w:szCs w:val="24"/>
        </w:rPr>
        <w:t>：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163249</w:t>
      </w:r>
      <w:r w:rsidRPr="000E6007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0E6007">
        <w:rPr>
          <w:rFonts w:asciiTheme="minorEastAsia" w:eastAsiaTheme="minorEastAsia" w:hAnsiTheme="minorEastAsia"/>
          <w:color w:val="333333"/>
          <w:shd w:val="clear" w:color="auto" w:fill="FFFFFF"/>
        </w:rPr>
        <w:t xml:space="preserve">       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债券简称</w:t>
      </w:r>
      <w:r w:rsidRPr="000E6007">
        <w:rPr>
          <w:rFonts w:asciiTheme="minorEastAsia" w:eastAsiaTheme="minorEastAsia" w:hAnsiTheme="minorEastAsia"/>
          <w:sz w:val="24"/>
          <w:szCs w:val="24"/>
        </w:rPr>
        <w:t>：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20同方01</w:t>
      </w:r>
    </w:p>
    <w:p w:rsidR="00D15E83" w:rsidRPr="000E6007" w:rsidRDefault="00D15E83" w:rsidP="00D15E83">
      <w:pPr>
        <w:rPr>
          <w:rFonts w:asciiTheme="minorEastAsia" w:eastAsiaTheme="minorEastAsia" w:hAnsiTheme="minorEastAsia"/>
        </w:rPr>
      </w:pPr>
      <w:r w:rsidRPr="000E6007">
        <w:rPr>
          <w:rFonts w:asciiTheme="minorEastAsia" w:eastAsiaTheme="minorEastAsia" w:hAnsiTheme="minorEastAsia" w:cs="宋体" w:hint="eastAsia"/>
          <w:sz w:val="24"/>
          <w:szCs w:val="24"/>
        </w:rPr>
        <w:t>债券代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码</w:t>
      </w:r>
      <w:r w:rsidRPr="000E6007">
        <w:rPr>
          <w:rFonts w:asciiTheme="minorEastAsia" w:eastAsiaTheme="minorEastAsia" w:hAnsiTheme="minorEastAsia"/>
          <w:sz w:val="24"/>
          <w:szCs w:val="24"/>
        </w:rPr>
        <w:t>：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163371</w:t>
      </w:r>
      <w:r w:rsidRPr="000E6007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0E6007">
        <w:rPr>
          <w:rFonts w:asciiTheme="minorEastAsia" w:eastAsiaTheme="minorEastAsia" w:hAnsiTheme="minorEastAsia"/>
          <w:color w:val="333333"/>
          <w:shd w:val="clear" w:color="auto" w:fill="FFFFFF"/>
        </w:rPr>
        <w:t xml:space="preserve">       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债券简称</w:t>
      </w:r>
      <w:r w:rsidRPr="000E6007">
        <w:rPr>
          <w:rFonts w:asciiTheme="minorEastAsia" w:eastAsiaTheme="minorEastAsia" w:hAnsiTheme="minorEastAsia"/>
          <w:sz w:val="24"/>
          <w:szCs w:val="24"/>
        </w:rPr>
        <w:t>：</w:t>
      </w:r>
      <w:r w:rsidRPr="000E6007">
        <w:rPr>
          <w:rFonts w:asciiTheme="minorEastAsia" w:eastAsiaTheme="minorEastAsia" w:hAnsiTheme="minorEastAsia" w:hint="eastAsia"/>
          <w:sz w:val="24"/>
          <w:szCs w:val="24"/>
        </w:rPr>
        <w:t>20同方03</w:t>
      </w:r>
    </w:p>
    <w:p w:rsidR="005318BE" w:rsidRPr="00D15E83" w:rsidRDefault="005318BE">
      <w:pPr>
        <w:spacing w:line="240" w:lineRule="auto"/>
        <w:rPr>
          <w:rFonts w:ascii="宋体" w:hAnsi="宋体"/>
          <w:sz w:val="24"/>
          <w:szCs w:val="24"/>
        </w:rPr>
      </w:pPr>
    </w:p>
    <w:p w:rsidR="005318BE" w:rsidRPr="00B906F5" w:rsidRDefault="005318BE">
      <w:pPr>
        <w:spacing w:line="240" w:lineRule="auto"/>
        <w:rPr>
          <w:rFonts w:ascii="宋体" w:hAnsi="宋体"/>
          <w:sz w:val="24"/>
          <w:szCs w:val="24"/>
        </w:rPr>
      </w:pPr>
    </w:p>
    <w:p w:rsidR="00C43D0F" w:rsidRPr="00B906F5" w:rsidRDefault="00195F7A">
      <w:pPr>
        <w:spacing w:line="240" w:lineRule="auto"/>
        <w:jc w:val="center"/>
        <w:rPr>
          <w:rFonts w:ascii="黑体" w:eastAsia="黑体" w:hAnsi="宋体"/>
          <w:bCs/>
          <w:color w:val="FF0000"/>
          <w:sz w:val="30"/>
        </w:rPr>
      </w:pPr>
      <w:r w:rsidRPr="00B906F5">
        <w:rPr>
          <w:rFonts w:ascii="黑体" w:eastAsia="黑体" w:hAnsi="宋体" w:hint="eastAsia"/>
          <w:bCs/>
          <w:color w:val="FF0000"/>
          <w:sz w:val="30"/>
        </w:rPr>
        <w:t>同方股份有限公司</w:t>
      </w:r>
    </w:p>
    <w:p w:rsidR="00B66E0C" w:rsidRPr="00B906F5" w:rsidRDefault="00572597" w:rsidP="00ED31E9">
      <w:pPr>
        <w:snapToGrid w:val="0"/>
        <w:jc w:val="center"/>
        <w:rPr>
          <w:rFonts w:ascii="黑体" w:eastAsia="黑体"/>
          <w:color w:val="FF0000"/>
          <w:sz w:val="30"/>
          <w:szCs w:val="30"/>
        </w:rPr>
      </w:pPr>
      <w:bookmarkStart w:id="0" w:name="OLE_LINK1"/>
      <w:bookmarkStart w:id="1" w:name="OLE_LINK2"/>
      <w:r>
        <w:rPr>
          <w:rFonts w:ascii="黑体" w:eastAsia="黑体" w:hint="eastAsia"/>
          <w:color w:val="FF0000"/>
          <w:sz w:val="30"/>
          <w:szCs w:val="30"/>
        </w:rPr>
        <w:t>关于获得政府补助的</w:t>
      </w:r>
      <w:r w:rsidRPr="00983CF5">
        <w:rPr>
          <w:rFonts w:ascii="黑体" w:eastAsia="黑体" w:hint="eastAsia"/>
          <w:color w:val="FF0000"/>
          <w:sz w:val="30"/>
          <w:szCs w:val="30"/>
        </w:rPr>
        <w:t>公告</w:t>
      </w:r>
      <w:bookmarkEnd w:id="0"/>
      <w:bookmarkEnd w:id="1"/>
    </w:p>
    <w:p w:rsidR="005318BE" w:rsidRPr="00B906F5" w:rsidRDefault="005318BE">
      <w:pPr>
        <w:spacing w:line="240" w:lineRule="auto"/>
        <w:rPr>
          <w:rFonts w:ascii="宋体" w:hAnsi="宋体"/>
          <w:sz w:val="24"/>
        </w:rPr>
      </w:pPr>
    </w:p>
    <w:p w:rsidR="004F038A" w:rsidRPr="00B906F5" w:rsidRDefault="004F038A" w:rsidP="004F038A">
      <w:pPr>
        <w:spacing w:line="240" w:lineRule="auto"/>
        <w:rPr>
          <w:rFonts w:ascii="宋体" w:hAnsi="宋体"/>
          <w:sz w:val="24"/>
        </w:rPr>
      </w:pPr>
    </w:p>
    <w:p w:rsidR="006B539E" w:rsidRPr="00B906F5" w:rsidRDefault="006B539E" w:rsidP="006B539E">
      <w:pPr>
        <w:snapToGrid w:val="0"/>
        <w:ind w:firstLine="482"/>
        <w:rPr>
          <w:rFonts w:ascii="宋体" w:hAnsi="宋体"/>
          <w:b/>
          <w:sz w:val="24"/>
        </w:rPr>
      </w:pPr>
      <w:r w:rsidRPr="00B906F5">
        <w:rPr>
          <w:rFonts w:ascii="宋体" w:hAnsi="宋体" w:hint="eastAsia"/>
          <w:b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5318BE" w:rsidRPr="00B906F5" w:rsidRDefault="005318BE">
      <w:pPr>
        <w:spacing w:line="240" w:lineRule="auto"/>
        <w:rPr>
          <w:rFonts w:ascii="宋体" w:hAnsi="宋体"/>
          <w:sz w:val="24"/>
        </w:rPr>
      </w:pPr>
    </w:p>
    <w:p w:rsidR="00ED31E9" w:rsidRPr="00B906F5" w:rsidRDefault="00ED31E9" w:rsidP="00ED31E9">
      <w:pPr>
        <w:adjustRightInd/>
        <w:spacing w:line="240" w:lineRule="auto"/>
        <w:ind w:firstLineChars="200" w:firstLine="480"/>
        <w:textAlignment w:val="auto"/>
        <w:rPr>
          <w:rFonts w:ascii="宋体" w:hAnsi="宋体"/>
          <w:kern w:val="2"/>
          <w:sz w:val="24"/>
          <w:szCs w:val="24"/>
        </w:rPr>
      </w:pPr>
    </w:p>
    <w:p w:rsidR="00572597" w:rsidRPr="00640AEF" w:rsidRDefault="00572597" w:rsidP="00572597">
      <w:pPr>
        <w:ind w:right="-94"/>
        <w:outlineLvl w:val="0"/>
        <w:rPr>
          <w:b/>
          <w:sz w:val="24"/>
          <w:szCs w:val="24"/>
        </w:rPr>
      </w:pPr>
      <w:r w:rsidRPr="00640AEF">
        <w:rPr>
          <w:rFonts w:hint="eastAsia"/>
          <w:b/>
          <w:sz w:val="24"/>
          <w:szCs w:val="24"/>
        </w:rPr>
        <w:t>一、</w:t>
      </w:r>
      <w:r>
        <w:rPr>
          <w:rFonts w:hint="eastAsia"/>
          <w:b/>
          <w:sz w:val="24"/>
          <w:szCs w:val="24"/>
        </w:rPr>
        <w:t>获得政府补助的基本情况</w:t>
      </w:r>
    </w:p>
    <w:p w:rsidR="00572597" w:rsidRDefault="00572597" w:rsidP="00572597">
      <w:pPr>
        <w:ind w:right="-94"/>
        <w:rPr>
          <w:sz w:val="24"/>
          <w:szCs w:val="24"/>
        </w:rPr>
      </w:pPr>
    </w:p>
    <w:p w:rsidR="00572597" w:rsidRPr="00C13ACF" w:rsidRDefault="00572597" w:rsidP="00572597">
      <w:pPr>
        <w:ind w:right="-94" w:firstLine="465"/>
        <w:rPr>
          <w:rFonts w:asciiTheme="majorEastAsia" w:eastAsiaTheme="majorEastAsia" w:hAnsiTheme="majorEastAsia"/>
          <w:sz w:val="24"/>
          <w:szCs w:val="24"/>
        </w:rPr>
      </w:pPr>
      <w:r w:rsidRPr="00C13ACF">
        <w:rPr>
          <w:rFonts w:asciiTheme="majorEastAsia" w:eastAsiaTheme="majorEastAsia" w:hAnsiTheme="majorEastAsia" w:hint="eastAsia"/>
          <w:sz w:val="24"/>
          <w:szCs w:val="24"/>
        </w:rPr>
        <w:t>经公司财务部门</w:t>
      </w:r>
      <w:r w:rsidR="00C07068">
        <w:rPr>
          <w:rFonts w:asciiTheme="majorEastAsia" w:eastAsiaTheme="majorEastAsia" w:hAnsiTheme="majorEastAsia" w:hint="eastAsia"/>
          <w:sz w:val="24"/>
          <w:szCs w:val="24"/>
        </w:rPr>
        <w:t>统计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F213E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4F494B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C00F6">
        <w:rPr>
          <w:rFonts w:asciiTheme="majorEastAsia" w:eastAsiaTheme="majorEastAsia" w:hAnsiTheme="majorEastAsia"/>
          <w:sz w:val="24"/>
          <w:szCs w:val="24"/>
        </w:rPr>
        <w:t>1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F494B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EE6221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9C00F6">
        <w:rPr>
          <w:rFonts w:asciiTheme="majorEastAsia" w:eastAsiaTheme="majorEastAsia" w:hAnsiTheme="majorEastAsia"/>
          <w:sz w:val="24"/>
          <w:szCs w:val="24"/>
        </w:rPr>
        <w:t>2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4F494B">
        <w:rPr>
          <w:rFonts w:asciiTheme="majorEastAsia" w:eastAsiaTheme="majorEastAsia" w:hAnsiTheme="majorEastAsia" w:hint="eastAsia"/>
          <w:sz w:val="24"/>
          <w:szCs w:val="24"/>
        </w:rPr>
        <w:t>23</w:t>
      </w:r>
      <w:r w:rsidR="00620E3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期间，公司及公司下属控股子公司累计确认</w:t>
      </w:r>
      <w:r w:rsidR="00C07068">
        <w:rPr>
          <w:rFonts w:asciiTheme="majorEastAsia" w:eastAsiaTheme="majorEastAsia" w:hAnsiTheme="majorEastAsia" w:hint="eastAsia"/>
          <w:sz w:val="24"/>
          <w:szCs w:val="24"/>
        </w:rPr>
        <w:t>各类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政府补助</w:t>
      </w:r>
      <w:r w:rsidR="004A1869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D1981" w:rsidRPr="00FD1981">
        <w:rPr>
          <w:rFonts w:asciiTheme="majorEastAsia" w:eastAsiaTheme="majorEastAsia" w:hAnsiTheme="majorEastAsia"/>
          <w:sz w:val="24"/>
          <w:szCs w:val="24"/>
        </w:rPr>
        <w:t>,</w:t>
      </w:r>
      <w:r w:rsidR="004A1869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AE6FA4">
        <w:rPr>
          <w:rFonts w:asciiTheme="majorEastAsia" w:eastAsiaTheme="majorEastAsia" w:hAnsiTheme="majorEastAsia" w:hint="eastAsia"/>
          <w:sz w:val="24"/>
          <w:szCs w:val="24"/>
        </w:rPr>
        <w:t>34</w:t>
      </w:r>
      <w:r w:rsidR="00FD1981" w:rsidRPr="00FD1981">
        <w:rPr>
          <w:rFonts w:asciiTheme="majorEastAsia" w:eastAsiaTheme="majorEastAsia" w:hAnsiTheme="majorEastAsia"/>
          <w:sz w:val="24"/>
          <w:szCs w:val="24"/>
        </w:rPr>
        <w:t>.</w:t>
      </w:r>
      <w:r w:rsidR="00AE6FA4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73827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万元，主要</w:t>
      </w:r>
      <w:r w:rsidR="00C07068">
        <w:rPr>
          <w:rFonts w:asciiTheme="majorEastAsia" w:eastAsiaTheme="majorEastAsia" w:hAnsiTheme="majorEastAsia" w:hint="eastAsia"/>
          <w:sz w:val="24"/>
          <w:szCs w:val="24"/>
        </w:rPr>
        <w:t>为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增值税返还、</w:t>
      </w:r>
      <w:r w:rsidR="00AE2ED6" w:rsidRPr="00C13ACF">
        <w:rPr>
          <w:rFonts w:asciiTheme="majorEastAsia" w:eastAsiaTheme="majorEastAsia" w:hAnsiTheme="majorEastAsia" w:hint="eastAsia"/>
          <w:sz w:val="24"/>
          <w:szCs w:val="24"/>
        </w:rPr>
        <w:t>财政补贴</w:t>
      </w:r>
      <w:r w:rsidRPr="00C13ACF">
        <w:rPr>
          <w:rFonts w:asciiTheme="majorEastAsia" w:eastAsiaTheme="majorEastAsia" w:hAnsiTheme="majorEastAsia" w:hint="eastAsia"/>
          <w:sz w:val="24"/>
          <w:szCs w:val="24"/>
        </w:rPr>
        <w:t>等。</w:t>
      </w:r>
      <w:r w:rsidR="00AE2ED6" w:rsidRPr="00C13ACF">
        <w:rPr>
          <w:rFonts w:asciiTheme="majorEastAsia" w:eastAsiaTheme="majorEastAsia" w:hAnsiTheme="majorEastAsia" w:hint="eastAsia"/>
          <w:sz w:val="24"/>
          <w:szCs w:val="24"/>
        </w:rPr>
        <w:t>具体如下：</w:t>
      </w:r>
    </w:p>
    <w:p w:rsidR="00AE2ED6" w:rsidRDefault="00AE2ED6" w:rsidP="00572597">
      <w:pPr>
        <w:ind w:right="-94" w:firstLine="46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 xml:space="preserve">                        </w:t>
      </w:r>
    </w:p>
    <w:tbl>
      <w:tblPr>
        <w:tblW w:w="46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4"/>
        <w:gridCol w:w="3542"/>
        <w:gridCol w:w="2124"/>
      </w:tblGrid>
      <w:tr w:rsidR="00850CA6" w:rsidRPr="00AE2ED6" w:rsidTr="00850CA6">
        <w:trPr>
          <w:trHeight w:val="513"/>
          <w:jc w:val="center"/>
        </w:trPr>
        <w:tc>
          <w:tcPr>
            <w:tcW w:w="1663" w:type="pct"/>
            <w:shd w:val="clear" w:color="auto" w:fill="auto"/>
            <w:noWrap/>
            <w:vAlign w:val="center"/>
          </w:tcPr>
          <w:p w:rsidR="00850CA6" w:rsidRPr="00AE2ED6" w:rsidRDefault="00850CA6" w:rsidP="002D42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AE2ED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086" w:type="pct"/>
            <w:vAlign w:val="center"/>
          </w:tcPr>
          <w:p w:rsidR="00850CA6" w:rsidRPr="00AE2ED6" w:rsidRDefault="00850CA6" w:rsidP="002D42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主要内容</w:t>
            </w:r>
          </w:p>
        </w:tc>
        <w:tc>
          <w:tcPr>
            <w:tcW w:w="1251" w:type="pct"/>
            <w:vAlign w:val="center"/>
          </w:tcPr>
          <w:p w:rsidR="00850CA6" w:rsidRPr="00AE2ED6" w:rsidRDefault="00850CA6" w:rsidP="002D42B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 w:rsidRPr="00AE2ED6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金额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（</w:t>
            </w:r>
            <w:r w:rsidR="00121C53"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万</w:t>
            </w:r>
            <w:r>
              <w:rPr>
                <w:rFonts w:ascii="宋体" w:hAnsi="宋体" w:cs="宋体" w:hint="eastAsia"/>
                <w:b/>
                <w:color w:val="000000"/>
                <w:sz w:val="24"/>
                <w:szCs w:val="24"/>
              </w:rPr>
              <w:t>元）</w:t>
            </w:r>
          </w:p>
        </w:tc>
      </w:tr>
      <w:tr w:rsidR="00040A06" w:rsidRPr="00AE2ED6" w:rsidTr="00850CA6">
        <w:trPr>
          <w:trHeight w:val="289"/>
          <w:jc w:val="center"/>
        </w:trPr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040A06" w:rsidRDefault="00040A06" w:rsidP="00040A06">
            <w:pPr>
              <w:widowControl/>
              <w:adjustRightInd/>
              <w:spacing w:line="240" w:lineRule="auto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软件产品增值税返还</w:t>
            </w:r>
          </w:p>
        </w:tc>
        <w:tc>
          <w:tcPr>
            <w:tcW w:w="2086" w:type="pct"/>
            <w:vAlign w:val="center"/>
          </w:tcPr>
          <w:p w:rsidR="00040A06" w:rsidRPr="000E6007" w:rsidRDefault="00040A06" w:rsidP="00040A0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E600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下属同方知网（北京）技术有限公司等收到的软件产品增值税返还</w:t>
            </w:r>
          </w:p>
        </w:tc>
        <w:tc>
          <w:tcPr>
            <w:tcW w:w="1251" w:type="pct"/>
            <w:vAlign w:val="center"/>
          </w:tcPr>
          <w:p w:rsidR="00040A06" w:rsidRPr="000E6007" w:rsidRDefault="00040A06" w:rsidP="00040A06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E600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1,452.82 </w:t>
            </w:r>
          </w:p>
        </w:tc>
      </w:tr>
      <w:tr w:rsidR="00040A06" w:rsidRPr="00AE2ED6" w:rsidTr="00850CA6">
        <w:trPr>
          <w:trHeight w:val="289"/>
          <w:jc w:val="center"/>
        </w:trPr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040A06" w:rsidRDefault="00040A06" w:rsidP="00040A06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污水处理劳务增值税返还</w:t>
            </w:r>
          </w:p>
        </w:tc>
        <w:tc>
          <w:tcPr>
            <w:tcW w:w="2086" w:type="pct"/>
            <w:vAlign w:val="center"/>
          </w:tcPr>
          <w:p w:rsidR="00040A06" w:rsidRPr="000E6007" w:rsidRDefault="00040A06" w:rsidP="00040A0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E600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下属同方水务集团有限公司等收到的污水处理的劳务增值税返还</w:t>
            </w:r>
          </w:p>
        </w:tc>
        <w:tc>
          <w:tcPr>
            <w:tcW w:w="1251" w:type="pct"/>
            <w:vAlign w:val="center"/>
          </w:tcPr>
          <w:p w:rsidR="00040A06" w:rsidRPr="000E6007" w:rsidRDefault="00040A06" w:rsidP="00040A06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E600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27.20 </w:t>
            </w:r>
          </w:p>
        </w:tc>
      </w:tr>
      <w:tr w:rsidR="00040A06" w:rsidRPr="00AE2ED6" w:rsidTr="00865CDA">
        <w:trPr>
          <w:trHeight w:val="775"/>
          <w:jc w:val="center"/>
        </w:trPr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040A06" w:rsidRDefault="00040A06" w:rsidP="00040A06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其他财政补贴</w:t>
            </w:r>
          </w:p>
        </w:tc>
        <w:tc>
          <w:tcPr>
            <w:tcW w:w="2086" w:type="pct"/>
            <w:vAlign w:val="center"/>
          </w:tcPr>
          <w:p w:rsidR="00040A06" w:rsidRPr="000E6007" w:rsidRDefault="00040A06" w:rsidP="00040A06">
            <w:pP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E600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下属同方人工环境有限公司等收到的配套费等财政补贴</w:t>
            </w:r>
          </w:p>
        </w:tc>
        <w:tc>
          <w:tcPr>
            <w:tcW w:w="1251" w:type="pct"/>
            <w:vAlign w:val="center"/>
          </w:tcPr>
          <w:p w:rsidR="00040A06" w:rsidRPr="000E6007" w:rsidRDefault="00040A06" w:rsidP="00040A06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E600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1,654.3</w:t>
            </w:r>
            <w:r w:rsidR="00373827" w:rsidRPr="000E600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4</w:t>
            </w:r>
            <w:r w:rsidRPr="000E600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1836" w:rsidRPr="00AE2ED6" w:rsidTr="00850CA6">
        <w:trPr>
          <w:trHeight w:val="289"/>
          <w:jc w:val="center"/>
        </w:trPr>
        <w:tc>
          <w:tcPr>
            <w:tcW w:w="1663" w:type="pct"/>
            <w:shd w:val="clear" w:color="auto" w:fill="auto"/>
            <w:noWrap/>
            <w:vAlign w:val="center"/>
            <w:hideMark/>
          </w:tcPr>
          <w:p w:rsidR="00511836" w:rsidRPr="00AE2ED6" w:rsidRDefault="00511836" w:rsidP="0051183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AE2ED6">
              <w:rPr>
                <w:rFonts w:ascii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086" w:type="pct"/>
          </w:tcPr>
          <w:p w:rsidR="00511836" w:rsidRPr="000E6007" w:rsidRDefault="00511836" w:rsidP="00511836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:rsidR="00511836" w:rsidRPr="000E6007" w:rsidRDefault="00511836" w:rsidP="00511836">
            <w:pPr>
              <w:jc w:val="righ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E600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3,134.3</w:t>
            </w:r>
            <w:r w:rsidR="00373827" w:rsidRPr="000E6007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6</w:t>
            </w:r>
            <w:r w:rsidRPr="000E6007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72597" w:rsidRDefault="00572597" w:rsidP="00572597">
      <w:pPr>
        <w:ind w:right="-94"/>
        <w:rPr>
          <w:sz w:val="24"/>
          <w:szCs w:val="24"/>
        </w:rPr>
      </w:pPr>
    </w:p>
    <w:p w:rsidR="00572597" w:rsidRPr="00640AEF" w:rsidRDefault="00572597" w:rsidP="00572597">
      <w:pPr>
        <w:ind w:right="-94"/>
        <w:outlineLvl w:val="0"/>
        <w:rPr>
          <w:b/>
          <w:sz w:val="24"/>
          <w:szCs w:val="24"/>
        </w:rPr>
      </w:pPr>
      <w:r w:rsidRPr="00640AEF">
        <w:rPr>
          <w:rFonts w:hint="eastAsia"/>
          <w:b/>
          <w:sz w:val="24"/>
          <w:szCs w:val="24"/>
        </w:rPr>
        <w:t>二、</w:t>
      </w:r>
      <w:r>
        <w:rPr>
          <w:rFonts w:hint="eastAsia"/>
          <w:b/>
          <w:sz w:val="24"/>
          <w:szCs w:val="24"/>
        </w:rPr>
        <w:t>补助的类型及其对上市公司的影响</w:t>
      </w:r>
    </w:p>
    <w:p w:rsidR="00572597" w:rsidRDefault="00865CDA" w:rsidP="00572597">
      <w:pPr>
        <w:ind w:right="-9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C13ACF" w:rsidRPr="005E03DC" w:rsidRDefault="00572597" w:rsidP="00C13ACF">
      <w:pPr>
        <w:ind w:right="-94" w:firstLineChars="200" w:firstLine="480"/>
        <w:rPr>
          <w:rFonts w:ascii="宋体" w:hAnsi="宋体"/>
          <w:sz w:val="24"/>
        </w:rPr>
      </w:pPr>
      <w:r w:rsidRPr="008C43EE">
        <w:rPr>
          <w:rFonts w:hint="eastAsia"/>
          <w:sz w:val="24"/>
        </w:rPr>
        <w:t>公司根据《企业会计准则第</w:t>
      </w:r>
      <w:r w:rsidRPr="005E03DC">
        <w:rPr>
          <w:rFonts w:ascii="宋体" w:hAnsi="宋体"/>
          <w:sz w:val="24"/>
        </w:rPr>
        <w:t>16</w:t>
      </w:r>
      <w:r w:rsidRPr="005E03DC">
        <w:rPr>
          <w:rFonts w:ascii="宋体" w:hAnsi="宋体" w:hint="eastAsia"/>
          <w:sz w:val="24"/>
        </w:rPr>
        <w:t>号—政府补助》的有关规定</w:t>
      </w:r>
      <w:r w:rsidR="00624BA2" w:rsidRPr="005E03DC">
        <w:rPr>
          <w:rFonts w:ascii="宋体" w:hAnsi="宋体" w:hint="eastAsia"/>
          <w:sz w:val="24"/>
        </w:rPr>
        <w:t>确认上述事项，</w:t>
      </w:r>
      <w:r w:rsidR="003309DE" w:rsidRPr="005E03DC">
        <w:rPr>
          <w:rFonts w:ascii="宋体" w:hAnsi="宋体" w:hint="eastAsia"/>
          <w:sz w:val="24"/>
        </w:rPr>
        <w:t>上述补贴金额全部计入当期损益，</w:t>
      </w:r>
      <w:r w:rsidR="006154A5" w:rsidRPr="005E03DC">
        <w:rPr>
          <w:rFonts w:ascii="宋体" w:hAnsi="宋体" w:hint="eastAsia"/>
          <w:sz w:val="24"/>
        </w:rPr>
        <w:t>其中与本公司日常</w:t>
      </w:r>
      <w:r w:rsidR="006D17D3" w:rsidRPr="005E03DC">
        <w:rPr>
          <w:rFonts w:ascii="宋体" w:hAnsi="宋体" w:hint="eastAsia"/>
          <w:sz w:val="24"/>
        </w:rPr>
        <w:t>经营</w:t>
      </w:r>
      <w:r w:rsidR="006154A5" w:rsidRPr="005E03DC">
        <w:rPr>
          <w:rFonts w:ascii="宋体" w:hAnsi="宋体" w:hint="eastAsia"/>
          <w:sz w:val="24"/>
        </w:rPr>
        <w:t>活动相关的</w:t>
      </w:r>
      <w:r w:rsidR="00132F99">
        <w:rPr>
          <w:rFonts w:ascii="宋体" w:hAnsi="宋体" w:hint="eastAsia"/>
          <w:sz w:val="24"/>
        </w:rPr>
        <w:t>3</w:t>
      </w:r>
      <w:r w:rsidR="00992002" w:rsidRPr="00992002">
        <w:rPr>
          <w:rFonts w:ascii="宋体" w:hAnsi="宋体"/>
          <w:sz w:val="24"/>
        </w:rPr>
        <w:t>,</w:t>
      </w:r>
      <w:r w:rsidR="00132F99">
        <w:rPr>
          <w:rFonts w:ascii="宋体" w:hAnsi="宋体" w:hint="eastAsia"/>
          <w:sz w:val="24"/>
        </w:rPr>
        <w:t>127</w:t>
      </w:r>
      <w:r w:rsidR="00992002" w:rsidRPr="00992002">
        <w:rPr>
          <w:rFonts w:ascii="宋体" w:hAnsi="宋体"/>
          <w:sz w:val="24"/>
        </w:rPr>
        <w:t>.</w:t>
      </w:r>
      <w:r w:rsidR="00132F99">
        <w:rPr>
          <w:rFonts w:ascii="宋体" w:hAnsi="宋体" w:hint="eastAsia"/>
          <w:sz w:val="24"/>
        </w:rPr>
        <w:t>92</w:t>
      </w:r>
      <w:r w:rsidR="00EC0FB6">
        <w:rPr>
          <w:rFonts w:ascii="宋体" w:hAnsi="宋体" w:hint="eastAsia"/>
          <w:sz w:val="24"/>
        </w:rPr>
        <w:t>万元</w:t>
      </w:r>
      <w:r w:rsidR="006154A5" w:rsidRPr="005E03DC">
        <w:rPr>
          <w:rFonts w:ascii="宋体" w:hAnsi="宋体" w:hint="eastAsia"/>
          <w:sz w:val="24"/>
        </w:rPr>
        <w:t>计入其他收益；与本公司日常</w:t>
      </w:r>
      <w:r w:rsidR="006D17D3" w:rsidRPr="005E03DC">
        <w:rPr>
          <w:rFonts w:ascii="宋体" w:hAnsi="宋体" w:hint="eastAsia"/>
          <w:sz w:val="24"/>
        </w:rPr>
        <w:t>经营</w:t>
      </w:r>
      <w:r w:rsidR="006154A5" w:rsidRPr="005E03DC">
        <w:rPr>
          <w:rFonts w:ascii="宋体" w:hAnsi="宋体" w:hint="eastAsia"/>
          <w:sz w:val="24"/>
        </w:rPr>
        <w:t>活动无关的</w:t>
      </w:r>
      <w:r w:rsidR="002456EA">
        <w:rPr>
          <w:rFonts w:ascii="宋体" w:hAnsi="宋体" w:hint="eastAsia"/>
          <w:sz w:val="24"/>
        </w:rPr>
        <w:t>6</w:t>
      </w:r>
      <w:r w:rsidR="00992002" w:rsidRPr="00992002">
        <w:rPr>
          <w:rFonts w:ascii="宋体" w:hAnsi="宋体"/>
          <w:sz w:val="24"/>
        </w:rPr>
        <w:t>.</w:t>
      </w:r>
      <w:r w:rsidR="002456EA">
        <w:rPr>
          <w:rFonts w:ascii="宋体" w:hAnsi="宋体" w:hint="eastAsia"/>
          <w:sz w:val="24"/>
        </w:rPr>
        <w:t>44</w:t>
      </w:r>
      <w:r w:rsidR="007B6470">
        <w:rPr>
          <w:rFonts w:ascii="宋体" w:hAnsi="宋体" w:hint="eastAsia"/>
          <w:sz w:val="24"/>
        </w:rPr>
        <w:t>万</w:t>
      </w:r>
      <w:r w:rsidR="00C13ACF" w:rsidRPr="005E03DC">
        <w:rPr>
          <w:rFonts w:ascii="宋体" w:hAnsi="宋体" w:hint="eastAsia"/>
          <w:sz w:val="24"/>
        </w:rPr>
        <w:t>元计入营业外收入</w:t>
      </w:r>
      <w:r w:rsidRPr="005E03DC">
        <w:rPr>
          <w:rFonts w:ascii="宋体" w:hAnsi="宋体" w:hint="eastAsia"/>
          <w:sz w:val="24"/>
        </w:rPr>
        <w:t>。</w:t>
      </w:r>
    </w:p>
    <w:p w:rsidR="00C13ACF" w:rsidRPr="007B6470" w:rsidRDefault="00C13ACF" w:rsidP="00C13ACF">
      <w:pPr>
        <w:ind w:right="-94" w:firstLineChars="200" w:firstLine="480"/>
        <w:rPr>
          <w:rFonts w:ascii="宋体" w:hAnsi="宋体"/>
          <w:sz w:val="24"/>
        </w:rPr>
      </w:pPr>
    </w:p>
    <w:p w:rsidR="00572597" w:rsidRDefault="00572597" w:rsidP="00C13ACF">
      <w:pPr>
        <w:ind w:right="-94" w:firstLineChars="200" w:firstLine="480"/>
        <w:rPr>
          <w:sz w:val="24"/>
        </w:rPr>
      </w:pPr>
      <w:r w:rsidRPr="005E03DC">
        <w:rPr>
          <w:rFonts w:ascii="宋体" w:hAnsi="宋体" w:hint="eastAsia"/>
          <w:sz w:val="24"/>
        </w:rPr>
        <w:t>上述补助的确认会对公司</w:t>
      </w:r>
      <w:r w:rsidR="008F7458">
        <w:rPr>
          <w:rFonts w:ascii="宋体" w:hAnsi="宋体"/>
          <w:sz w:val="24"/>
        </w:rPr>
        <w:t>202</w:t>
      </w:r>
      <w:r w:rsidR="00725FD0">
        <w:rPr>
          <w:rFonts w:ascii="宋体" w:hAnsi="宋体" w:hint="eastAsia"/>
          <w:sz w:val="24"/>
        </w:rPr>
        <w:t>1</w:t>
      </w:r>
      <w:r w:rsidR="006D17D3" w:rsidRPr="005E03DC">
        <w:rPr>
          <w:rFonts w:ascii="宋体" w:hAnsi="宋体" w:hint="eastAsia"/>
          <w:sz w:val="24"/>
        </w:rPr>
        <w:t>年度</w:t>
      </w:r>
      <w:r w:rsidRPr="005E03DC">
        <w:rPr>
          <w:rFonts w:ascii="宋体" w:hAnsi="宋体" w:hint="eastAsia"/>
          <w:sz w:val="24"/>
        </w:rPr>
        <w:t>业绩产生正面影响</w:t>
      </w:r>
      <w:r w:rsidR="006D17D3" w:rsidRPr="005E03DC">
        <w:rPr>
          <w:rFonts w:ascii="宋体" w:hAnsi="宋体" w:hint="eastAsia"/>
          <w:sz w:val="24"/>
        </w:rPr>
        <w:t>，</w:t>
      </w:r>
      <w:r w:rsidRPr="005E03DC">
        <w:rPr>
          <w:rFonts w:ascii="宋体" w:hAnsi="宋体" w:hint="eastAsia"/>
          <w:sz w:val="24"/>
        </w:rPr>
        <w:t>具体会计处理</w:t>
      </w:r>
      <w:r w:rsidR="006D17D3" w:rsidRPr="005E03DC">
        <w:rPr>
          <w:rFonts w:ascii="宋体" w:hAnsi="宋体" w:hint="eastAsia"/>
          <w:sz w:val="24"/>
        </w:rPr>
        <w:t>及影响金额</w:t>
      </w:r>
      <w:r w:rsidRPr="005E03DC">
        <w:rPr>
          <w:rFonts w:ascii="宋体" w:hAnsi="宋体" w:hint="eastAsia"/>
          <w:sz w:val="24"/>
        </w:rPr>
        <w:t>仍须以审计机构年度审计确认后的结果为准，敬请广大投资</w:t>
      </w:r>
      <w:r w:rsidRPr="0056330C">
        <w:rPr>
          <w:rFonts w:hint="eastAsia"/>
          <w:sz w:val="24"/>
        </w:rPr>
        <w:t>者注意投资风险。</w:t>
      </w:r>
    </w:p>
    <w:p w:rsidR="00572597" w:rsidRDefault="00572597" w:rsidP="00572597">
      <w:pPr>
        <w:ind w:right="-94" w:firstLine="480"/>
        <w:rPr>
          <w:sz w:val="24"/>
        </w:rPr>
      </w:pPr>
      <w:bookmarkStart w:id="2" w:name="_GoBack"/>
      <w:bookmarkEnd w:id="2"/>
    </w:p>
    <w:p w:rsidR="00001743" w:rsidRDefault="00572597" w:rsidP="0015393E">
      <w:pPr>
        <w:spacing w:line="240" w:lineRule="auto"/>
        <w:ind w:firstLineChars="200" w:firstLine="480"/>
        <w:rPr>
          <w:rFonts w:ascii="宋体" w:hAnsi="宋体"/>
          <w:b/>
          <w:sz w:val="24"/>
        </w:rPr>
      </w:pPr>
      <w:r>
        <w:rPr>
          <w:rFonts w:hint="eastAsia"/>
          <w:sz w:val="24"/>
          <w:szCs w:val="24"/>
        </w:rPr>
        <w:t>特此公告。</w:t>
      </w:r>
    </w:p>
    <w:p w:rsidR="00001743" w:rsidRPr="00B906F5" w:rsidRDefault="00001743" w:rsidP="008F3283">
      <w:pPr>
        <w:spacing w:line="240" w:lineRule="auto"/>
        <w:rPr>
          <w:rFonts w:ascii="宋体" w:hAnsi="宋体"/>
          <w:b/>
          <w:sz w:val="24"/>
        </w:rPr>
      </w:pPr>
    </w:p>
    <w:p w:rsidR="00CF1BDC" w:rsidRPr="005233FD" w:rsidRDefault="004A2A4D" w:rsidP="00436E87">
      <w:pPr>
        <w:spacing w:line="240" w:lineRule="auto"/>
        <w:ind w:firstLineChars="200" w:firstLine="480"/>
        <w:jc w:val="right"/>
        <w:rPr>
          <w:rFonts w:ascii="宋体" w:hAnsi="宋体"/>
          <w:sz w:val="24"/>
        </w:rPr>
      </w:pPr>
      <w:r w:rsidRPr="005233FD">
        <w:rPr>
          <w:rFonts w:ascii="宋体" w:hAnsi="宋体" w:hint="eastAsia"/>
          <w:sz w:val="24"/>
        </w:rPr>
        <w:t>同方股份有限公司董事会</w:t>
      </w:r>
    </w:p>
    <w:p w:rsidR="003609EA" w:rsidRPr="005233FD" w:rsidRDefault="007A774B" w:rsidP="00CD6E29">
      <w:pPr>
        <w:adjustRightInd/>
        <w:spacing w:line="240" w:lineRule="auto"/>
        <w:ind w:firstLine="200"/>
        <w:jc w:val="right"/>
        <w:textAlignment w:val="auto"/>
        <w:rPr>
          <w:rFonts w:ascii="宋体" w:hAnsi="宋体" w:cstheme="minorBidi"/>
          <w:kern w:val="2"/>
          <w:sz w:val="24"/>
          <w:szCs w:val="24"/>
        </w:rPr>
      </w:pPr>
      <w:r w:rsidRPr="005233FD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         </w:t>
      </w:r>
      <w:r w:rsidR="00CD6E29" w:rsidRPr="005233FD">
        <w:rPr>
          <w:rFonts w:asciiTheme="minorHAnsi" w:eastAsiaTheme="minorEastAsia" w:hAnsiTheme="minorHAnsi" w:cstheme="minorBidi" w:hint="eastAsia"/>
          <w:kern w:val="2"/>
          <w:sz w:val="24"/>
          <w:szCs w:val="24"/>
        </w:rPr>
        <w:t xml:space="preserve"> </w:t>
      </w:r>
      <w:r w:rsidR="00CD6E29" w:rsidRPr="005233FD">
        <w:rPr>
          <w:rFonts w:ascii="宋体" w:hAnsi="宋体" w:cstheme="minorBidi"/>
          <w:kern w:val="2"/>
          <w:sz w:val="24"/>
          <w:szCs w:val="24"/>
        </w:rPr>
        <w:t xml:space="preserve"> </w:t>
      </w:r>
      <w:r w:rsidR="00E03362" w:rsidRPr="005233FD">
        <w:rPr>
          <w:rFonts w:ascii="宋体" w:hAnsi="宋体" w:cstheme="minorBidi"/>
          <w:kern w:val="2"/>
          <w:sz w:val="24"/>
          <w:szCs w:val="24"/>
        </w:rPr>
        <w:t>202</w:t>
      </w:r>
      <w:r w:rsidR="00ED5F5D">
        <w:rPr>
          <w:rFonts w:ascii="宋体" w:hAnsi="宋体" w:cstheme="minorBidi" w:hint="eastAsia"/>
          <w:kern w:val="2"/>
          <w:sz w:val="24"/>
          <w:szCs w:val="24"/>
        </w:rPr>
        <w:t>1</w:t>
      </w:r>
      <w:r w:rsidR="00E03362" w:rsidRPr="005233FD">
        <w:rPr>
          <w:rFonts w:ascii="宋体" w:hAnsi="宋体" w:cstheme="minorBidi" w:hint="eastAsia"/>
          <w:kern w:val="2"/>
          <w:sz w:val="24"/>
          <w:szCs w:val="24"/>
        </w:rPr>
        <w:t>年</w:t>
      </w:r>
      <w:r w:rsidR="00922A06">
        <w:rPr>
          <w:rFonts w:ascii="宋体" w:hAnsi="宋体" w:cstheme="minorBidi"/>
          <w:kern w:val="2"/>
          <w:sz w:val="24"/>
          <w:szCs w:val="24"/>
        </w:rPr>
        <w:t>2</w:t>
      </w:r>
      <w:r w:rsidR="005233FD" w:rsidRPr="005233FD">
        <w:rPr>
          <w:rFonts w:ascii="宋体" w:hAnsi="宋体" w:cstheme="minorBidi" w:hint="eastAsia"/>
          <w:kern w:val="2"/>
          <w:sz w:val="24"/>
          <w:szCs w:val="24"/>
        </w:rPr>
        <w:t>月</w:t>
      </w:r>
      <w:r w:rsidR="00922A06">
        <w:rPr>
          <w:rFonts w:ascii="宋体" w:hAnsi="宋体" w:cstheme="minorBidi"/>
          <w:kern w:val="2"/>
          <w:sz w:val="24"/>
          <w:szCs w:val="24"/>
        </w:rPr>
        <w:t>25</w:t>
      </w:r>
      <w:r w:rsidR="004A2A4D" w:rsidRPr="005233FD">
        <w:rPr>
          <w:rFonts w:ascii="宋体" w:hAnsi="宋体" w:cstheme="minorBidi" w:hint="eastAsia"/>
          <w:kern w:val="2"/>
          <w:sz w:val="24"/>
          <w:szCs w:val="24"/>
        </w:rPr>
        <w:t>日</w:t>
      </w:r>
    </w:p>
    <w:sectPr w:rsidR="003609EA" w:rsidRPr="005233FD" w:rsidSect="008F3283">
      <w:footerReference w:type="default" r:id="rId8"/>
      <w:pgSz w:w="11906" w:h="16838" w:code="9"/>
      <w:pgMar w:top="1418" w:right="1418" w:bottom="709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FC1" w:rsidRDefault="00167FC1">
      <w:r>
        <w:separator/>
      </w:r>
    </w:p>
  </w:endnote>
  <w:endnote w:type="continuationSeparator" w:id="0">
    <w:p w:rsidR="00167FC1" w:rsidRDefault="0016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FA" w:rsidRDefault="00E67751">
    <w:pPr>
      <w:pStyle w:val="a7"/>
      <w:jc w:val="center"/>
    </w:pPr>
    <w:r>
      <w:rPr>
        <w:rStyle w:val="a8"/>
      </w:rPr>
      <w:fldChar w:fldCharType="begin"/>
    </w:r>
    <w:r w:rsidR="00EC4EFA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E600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FC1" w:rsidRDefault="00167FC1">
      <w:r>
        <w:separator/>
      </w:r>
    </w:p>
  </w:footnote>
  <w:footnote w:type="continuationSeparator" w:id="0">
    <w:p w:rsidR="00167FC1" w:rsidRDefault="0016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7A4C"/>
    <w:multiLevelType w:val="hybridMultilevel"/>
    <w:tmpl w:val="5F4087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7A7A36"/>
    <w:multiLevelType w:val="hybridMultilevel"/>
    <w:tmpl w:val="3BA484F6"/>
    <w:lvl w:ilvl="0" w:tplc="4AB20760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 w15:restartNumberingAfterBreak="0">
    <w:nsid w:val="0D6A50D6"/>
    <w:multiLevelType w:val="hybridMultilevel"/>
    <w:tmpl w:val="6DE2D72A"/>
    <w:lvl w:ilvl="0" w:tplc="F3D016A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494CBF"/>
    <w:multiLevelType w:val="hybridMultilevel"/>
    <w:tmpl w:val="405C6496"/>
    <w:lvl w:ilvl="0" w:tplc="1534AE0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B1703C4"/>
    <w:multiLevelType w:val="hybridMultilevel"/>
    <w:tmpl w:val="5E8A61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3A7E7B"/>
    <w:multiLevelType w:val="hybridMultilevel"/>
    <w:tmpl w:val="0DD88F8E"/>
    <w:lvl w:ilvl="0" w:tplc="B464DF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eastAsia="zh-C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393B1C"/>
    <w:multiLevelType w:val="multilevel"/>
    <w:tmpl w:val="FAEAA5A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863E73"/>
    <w:multiLevelType w:val="hybridMultilevel"/>
    <w:tmpl w:val="1C426860"/>
    <w:lvl w:ilvl="0" w:tplc="FFFFFFFF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FFFFFFFF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</w:lvl>
    <w:lvl w:ilvl="2" w:tplc="FFFFFFFF">
      <w:start w:val="1"/>
      <w:numFmt w:val="upperLetter"/>
      <w:lvlText w:val="%3."/>
      <w:lvlJc w:val="left"/>
      <w:pPr>
        <w:tabs>
          <w:tab w:val="num" w:pos="1305"/>
        </w:tabs>
        <w:ind w:left="1305" w:hanging="46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82D4D"/>
    <w:multiLevelType w:val="hybridMultilevel"/>
    <w:tmpl w:val="8648074A"/>
    <w:lvl w:ilvl="0" w:tplc="C5E6B37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4404EC"/>
    <w:multiLevelType w:val="hybridMultilevel"/>
    <w:tmpl w:val="25F6CE72"/>
    <w:lvl w:ilvl="0" w:tplc="48CC4588">
      <w:start w:val="1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2F44B9"/>
    <w:multiLevelType w:val="hybridMultilevel"/>
    <w:tmpl w:val="CF765EF8"/>
    <w:lvl w:ilvl="0" w:tplc="372AD7F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A51551"/>
    <w:multiLevelType w:val="hybridMultilevel"/>
    <w:tmpl w:val="1C8464C4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4D9249D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6F695A"/>
    <w:multiLevelType w:val="hybridMultilevel"/>
    <w:tmpl w:val="3014FB2A"/>
    <w:lvl w:ilvl="0" w:tplc="95CA0F0C">
      <w:start w:val="4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335CC2C4">
      <w:start w:val="1"/>
      <w:numFmt w:val="japaneseCounting"/>
      <w:lvlText w:val="（%2）"/>
      <w:lvlJc w:val="left"/>
      <w:pPr>
        <w:tabs>
          <w:tab w:val="num" w:pos="1622"/>
        </w:tabs>
        <w:ind w:left="1622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43E156BF"/>
    <w:multiLevelType w:val="hybridMultilevel"/>
    <w:tmpl w:val="DA8CB938"/>
    <w:lvl w:ilvl="0" w:tplc="09D0B29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011BD1"/>
    <w:multiLevelType w:val="multilevel"/>
    <w:tmpl w:val="219237D0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00D7C"/>
    <w:multiLevelType w:val="hybridMultilevel"/>
    <w:tmpl w:val="B41AE77C"/>
    <w:lvl w:ilvl="0" w:tplc="372AD7FE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360"/>
        </w:tabs>
        <w:ind w:left="3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20"/>
        </w:tabs>
        <w:ind w:left="16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880"/>
        </w:tabs>
        <w:ind w:left="28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00"/>
        </w:tabs>
        <w:ind w:left="3300" w:hanging="420"/>
      </w:pPr>
    </w:lvl>
  </w:abstractNum>
  <w:abstractNum w:abstractNumId="16" w15:restartNumberingAfterBreak="0">
    <w:nsid w:val="58767E8E"/>
    <w:multiLevelType w:val="hybridMultilevel"/>
    <w:tmpl w:val="63868796"/>
    <w:lvl w:ilvl="0" w:tplc="8DD48A3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2F22A10"/>
    <w:multiLevelType w:val="hybridMultilevel"/>
    <w:tmpl w:val="2CEA5F6C"/>
    <w:lvl w:ilvl="0" w:tplc="15E44B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42705B7"/>
    <w:multiLevelType w:val="hybridMultilevel"/>
    <w:tmpl w:val="4FA4BBF8"/>
    <w:lvl w:ilvl="0" w:tplc="4C941740">
      <w:start w:val="2"/>
      <w:numFmt w:val="japaneseCounting"/>
      <w:lvlText w:val="%1、"/>
      <w:lvlJc w:val="left"/>
      <w:pPr>
        <w:ind w:left="98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9" w15:restartNumberingAfterBreak="0">
    <w:nsid w:val="64957E45"/>
    <w:multiLevelType w:val="hybridMultilevel"/>
    <w:tmpl w:val="DA28D790"/>
    <w:lvl w:ilvl="0" w:tplc="CDC23CE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EF23D7"/>
    <w:multiLevelType w:val="hybridMultilevel"/>
    <w:tmpl w:val="F2F64BF4"/>
    <w:lvl w:ilvl="0" w:tplc="BA783E9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CB32DB"/>
    <w:multiLevelType w:val="hybridMultilevel"/>
    <w:tmpl w:val="2F48681A"/>
    <w:lvl w:ilvl="0" w:tplc="9B942210">
      <w:start w:val="1"/>
      <w:numFmt w:val="japaneseCounting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E63742"/>
    <w:multiLevelType w:val="hybridMultilevel"/>
    <w:tmpl w:val="C8CE0C44"/>
    <w:lvl w:ilvl="0" w:tplc="372AD7F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A97AAF"/>
    <w:multiLevelType w:val="hybridMultilevel"/>
    <w:tmpl w:val="FE6281AE"/>
    <w:lvl w:ilvl="0" w:tplc="A658FD2A">
      <w:start w:val="1"/>
      <w:numFmt w:val="japaneseCounting"/>
      <w:lvlText w:val="%1、"/>
      <w:lvlJc w:val="left"/>
      <w:pPr>
        <w:ind w:left="95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24" w15:restartNumberingAfterBreak="0">
    <w:nsid w:val="6FDE5CDD"/>
    <w:multiLevelType w:val="hybridMultilevel"/>
    <w:tmpl w:val="E70A303A"/>
    <w:lvl w:ilvl="0" w:tplc="A8E26BC6">
      <w:start w:val="1"/>
      <w:numFmt w:val="japaneseCounting"/>
      <w:lvlText w:val="（%1）"/>
      <w:lvlJc w:val="left"/>
      <w:pPr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7B181021"/>
    <w:multiLevelType w:val="multilevel"/>
    <w:tmpl w:val="DB3C13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25"/>
  </w:num>
  <w:num w:numId="5">
    <w:abstractNumId w:val="22"/>
  </w:num>
  <w:num w:numId="6">
    <w:abstractNumId w:val="14"/>
  </w:num>
  <w:num w:numId="7">
    <w:abstractNumId w:val="5"/>
  </w:num>
  <w:num w:numId="8">
    <w:abstractNumId w:val="10"/>
  </w:num>
  <w:num w:numId="9">
    <w:abstractNumId w:val="6"/>
  </w:num>
  <w:num w:numId="10">
    <w:abstractNumId w:val="21"/>
  </w:num>
  <w:num w:numId="11">
    <w:abstractNumId w:val="2"/>
  </w:num>
  <w:num w:numId="12">
    <w:abstractNumId w:val="7"/>
  </w:num>
  <w:num w:numId="13">
    <w:abstractNumId w:val="19"/>
  </w:num>
  <w:num w:numId="14">
    <w:abstractNumId w:val="3"/>
  </w:num>
  <w:num w:numId="15">
    <w:abstractNumId w:val="16"/>
  </w:num>
  <w:num w:numId="16">
    <w:abstractNumId w:val="13"/>
  </w:num>
  <w:num w:numId="17">
    <w:abstractNumId w:val="12"/>
  </w:num>
  <w:num w:numId="18">
    <w:abstractNumId w:val="24"/>
  </w:num>
  <w:num w:numId="19">
    <w:abstractNumId w:val="23"/>
  </w:num>
  <w:num w:numId="20">
    <w:abstractNumId w:val="18"/>
  </w:num>
  <w:num w:numId="21">
    <w:abstractNumId w:val="4"/>
  </w:num>
  <w:num w:numId="22">
    <w:abstractNumId w:val="17"/>
  </w:num>
  <w:num w:numId="23">
    <w:abstractNumId w:val="0"/>
  </w:num>
  <w:num w:numId="24">
    <w:abstractNumId w:val="9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92"/>
    <w:rsid w:val="00001743"/>
    <w:rsid w:val="00012C41"/>
    <w:rsid w:val="0001707E"/>
    <w:rsid w:val="00017AD2"/>
    <w:rsid w:val="0002232B"/>
    <w:rsid w:val="000247F1"/>
    <w:rsid w:val="0003588B"/>
    <w:rsid w:val="00040A06"/>
    <w:rsid w:val="00047E25"/>
    <w:rsid w:val="00061655"/>
    <w:rsid w:val="000657E3"/>
    <w:rsid w:val="00095BC8"/>
    <w:rsid w:val="000B0339"/>
    <w:rsid w:val="000B0C9B"/>
    <w:rsid w:val="000C189E"/>
    <w:rsid w:val="000D31CB"/>
    <w:rsid w:val="000E6007"/>
    <w:rsid w:val="000F6338"/>
    <w:rsid w:val="00101285"/>
    <w:rsid w:val="001111F0"/>
    <w:rsid w:val="00115A2B"/>
    <w:rsid w:val="00121C53"/>
    <w:rsid w:val="00127900"/>
    <w:rsid w:val="001307C4"/>
    <w:rsid w:val="00132F99"/>
    <w:rsid w:val="00136E08"/>
    <w:rsid w:val="001411B0"/>
    <w:rsid w:val="00146BE7"/>
    <w:rsid w:val="00146C04"/>
    <w:rsid w:val="0015393E"/>
    <w:rsid w:val="0016230D"/>
    <w:rsid w:val="00167FC1"/>
    <w:rsid w:val="00176E68"/>
    <w:rsid w:val="00195F7A"/>
    <w:rsid w:val="001A0961"/>
    <w:rsid w:val="001A5CA7"/>
    <w:rsid w:val="001A67C6"/>
    <w:rsid w:val="001B3F89"/>
    <w:rsid w:val="001B78D7"/>
    <w:rsid w:val="001C31EC"/>
    <w:rsid w:val="001C6CB1"/>
    <w:rsid w:val="001D36B3"/>
    <w:rsid w:val="001E0697"/>
    <w:rsid w:val="001E2147"/>
    <w:rsid w:val="00203F5B"/>
    <w:rsid w:val="002113F4"/>
    <w:rsid w:val="0021274B"/>
    <w:rsid w:val="00225211"/>
    <w:rsid w:val="00234092"/>
    <w:rsid w:val="0024419C"/>
    <w:rsid w:val="00244AE5"/>
    <w:rsid w:val="002456EA"/>
    <w:rsid w:val="00254E18"/>
    <w:rsid w:val="00263D37"/>
    <w:rsid w:val="0026561E"/>
    <w:rsid w:val="00267ACC"/>
    <w:rsid w:val="00270227"/>
    <w:rsid w:val="002734F4"/>
    <w:rsid w:val="0028019B"/>
    <w:rsid w:val="00285387"/>
    <w:rsid w:val="002867E8"/>
    <w:rsid w:val="00292BFA"/>
    <w:rsid w:val="002A0222"/>
    <w:rsid w:val="002B1852"/>
    <w:rsid w:val="002C6EBD"/>
    <w:rsid w:val="002D42BA"/>
    <w:rsid w:val="002D502C"/>
    <w:rsid w:val="002E054D"/>
    <w:rsid w:val="002F1CB6"/>
    <w:rsid w:val="002F250C"/>
    <w:rsid w:val="002F5119"/>
    <w:rsid w:val="00320EF5"/>
    <w:rsid w:val="003309DE"/>
    <w:rsid w:val="0034783D"/>
    <w:rsid w:val="003537BF"/>
    <w:rsid w:val="003609EA"/>
    <w:rsid w:val="00362BF8"/>
    <w:rsid w:val="00366A09"/>
    <w:rsid w:val="003702B0"/>
    <w:rsid w:val="00373827"/>
    <w:rsid w:val="00375672"/>
    <w:rsid w:val="003B04C7"/>
    <w:rsid w:val="003B221C"/>
    <w:rsid w:val="003B7284"/>
    <w:rsid w:val="003C1400"/>
    <w:rsid w:val="003C4ECE"/>
    <w:rsid w:val="003E7FBB"/>
    <w:rsid w:val="00402238"/>
    <w:rsid w:val="004158F2"/>
    <w:rsid w:val="00415F5D"/>
    <w:rsid w:val="00422965"/>
    <w:rsid w:val="004314EB"/>
    <w:rsid w:val="0043636B"/>
    <w:rsid w:val="00436E87"/>
    <w:rsid w:val="004439E9"/>
    <w:rsid w:val="00464F2C"/>
    <w:rsid w:val="00487491"/>
    <w:rsid w:val="00492E72"/>
    <w:rsid w:val="00495961"/>
    <w:rsid w:val="00495B65"/>
    <w:rsid w:val="00497C88"/>
    <w:rsid w:val="004A1869"/>
    <w:rsid w:val="004A2441"/>
    <w:rsid w:val="004A2A4D"/>
    <w:rsid w:val="004C5AAA"/>
    <w:rsid w:val="004D39FD"/>
    <w:rsid w:val="004F038A"/>
    <w:rsid w:val="004F378A"/>
    <w:rsid w:val="004F494B"/>
    <w:rsid w:val="004F733B"/>
    <w:rsid w:val="00500C3A"/>
    <w:rsid w:val="0050436B"/>
    <w:rsid w:val="00511836"/>
    <w:rsid w:val="00516E45"/>
    <w:rsid w:val="00520C35"/>
    <w:rsid w:val="005233FD"/>
    <w:rsid w:val="005267E9"/>
    <w:rsid w:val="00527E4A"/>
    <w:rsid w:val="005318BE"/>
    <w:rsid w:val="00540AB4"/>
    <w:rsid w:val="00554376"/>
    <w:rsid w:val="00572597"/>
    <w:rsid w:val="005807BF"/>
    <w:rsid w:val="005A5F21"/>
    <w:rsid w:val="005B1C6D"/>
    <w:rsid w:val="005D57C9"/>
    <w:rsid w:val="005E03DC"/>
    <w:rsid w:val="005E1FAF"/>
    <w:rsid w:val="005F0396"/>
    <w:rsid w:val="005F0ACC"/>
    <w:rsid w:val="005F1D54"/>
    <w:rsid w:val="005F364B"/>
    <w:rsid w:val="00600FD8"/>
    <w:rsid w:val="0060798A"/>
    <w:rsid w:val="006154A5"/>
    <w:rsid w:val="00620E3D"/>
    <w:rsid w:val="00624BA2"/>
    <w:rsid w:val="00633306"/>
    <w:rsid w:val="00634606"/>
    <w:rsid w:val="0063587C"/>
    <w:rsid w:val="006362EB"/>
    <w:rsid w:val="00645C48"/>
    <w:rsid w:val="006461CF"/>
    <w:rsid w:val="006511C5"/>
    <w:rsid w:val="006559DB"/>
    <w:rsid w:val="00664B75"/>
    <w:rsid w:val="006668E1"/>
    <w:rsid w:val="00680431"/>
    <w:rsid w:val="006865B5"/>
    <w:rsid w:val="00691854"/>
    <w:rsid w:val="006A18B8"/>
    <w:rsid w:val="006B539E"/>
    <w:rsid w:val="006C4F17"/>
    <w:rsid w:val="006D17D3"/>
    <w:rsid w:val="006D59DE"/>
    <w:rsid w:val="006E1252"/>
    <w:rsid w:val="006E4CE2"/>
    <w:rsid w:val="00700E09"/>
    <w:rsid w:val="00725FD0"/>
    <w:rsid w:val="007345A7"/>
    <w:rsid w:val="00741F6B"/>
    <w:rsid w:val="007437C5"/>
    <w:rsid w:val="007626F9"/>
    <w:rsid w:val="00763677"/>
    <w:rsid w:val="0076555C"/>
    <w:rsid w:val="00785FC5"/>
    <w:rsid w:val="007943BB"/>
    <w:rsid w:val="00795545"/>
    <w:rsid w:val="007973C2"/>
    <w:rsid w:val="007A3D6F"/>
    <w:rsid w:val="007A774B"/>
    <w:rsid w:val="007B0913"/>
    <w:rsid w:val="007B0C25"/>
    <w:rsid w:val="007B6470"/>
    <w:rsid w:val="007C1580"/>
    <w:rsid w:val="007C45A5"/>
    <w:rsid w:val="007C64CF"/>
    <w:rsid w:val="007D0511"/>
    <w:rsid w:val="007D29A9"/>
    <w:rsid w:val="007E09AC"/>
    <w:rsid w:val="007E7775"/>
    <w:rsid w:val="007F1A7F"/>
    <w:rsid w:val="007F6934"/>
    <w:rsid w:val="008220CC"/>
    <w:rsid w:val="00830AF3"/>
    <w:rsid w:val="008344CE"/>
    <w:rsid w:val="00840273"/>
    <w:rsid w:val="00850CA6"/>
    <w:rsid w:val="00863362"/>
    <w:rsid w:val="008643D4"/>
    <w:rsid w:val="00865CDA"/>
    <w:rsid w:val="00886CCC"/>
    <w:rsid w:val="0089126E"/>
    <w:rsid w:val="008A100A"/>
    <w:rsid w:val="008A27F5"/>
    <w:rsid w:val="008B328B"/>
    <w:rsid w:val="008C0DAB"/>
    <w:rsid w:val="008C35A5"/>
    <w:rsid w:val="008C3BA1"/>
    <w:rsid w:val="008E5163"/>
    <w:rsid w:val="008E5F5F"/>
    <w:rsid w:val="008E73A2"/>
    <w:rsid w:val="008F3283"/>
    <w:rsid w:val="008F549B"/>
    <w:rsid w:val="008F7458"/>
    <w:rsid w:val="00904C01"/>
    <w:rsid w:val="00922A06"/>
    <w:rsid w:val="00924255"/>
    <w:rsid w:val="009261D8"/>
    <w:rsid w:val="009271C3"/>
    <w:rsid w:val="0093279B"/>
    <w:rsid w:val="0094097E"/>
    <w:rsid w:val="00941A37"/>
    <w:rsid w:val="00943199"/>
    <w:rsid w:val="00950B7C"/>
    <w:rsid w:val="00954356"/>
    <w:rsid w:val="00954555"/>
    <w:rsid w:val="00955F54"/>
    <w:rsid w:val="009618CA"/>
    <w:rsid w:val="0096381D"/>
    <w:rsid w:val="0096548E"/>
    <w:rsid w:val="009666DB"/>
    <w:rsid w:val="00975175"/>
    <w:rsid w:val="00976A55"/>
    <w:rsid w:val="009819E9"/>
    <w:rsid w:val="009867E1"/>
    <w:rsid w:val="00992002"/>
    <w:rsid w:val="00994548"/>
    <w:rsid w:val="0099669D"/>
    <w:rsid w:val="009C00F6"/>
    <w:rsid w:val="009C3291"/>
    <w:rsid w:val="009D3472"/>
    <w:rsid w:val="009D611D"/>
    <w:rsid w:val="009F0C54"/>
    <w:rsid w:val="009F65BD"/>
    <w:rsid w:val="00A0218F"/>
    <w:rsid w:val="00A231E4"/>
    <w:rsid w:val="00A310E5"/>
    <w:rsid w:val="00A31949"/>
    <w:rsid w:val="00A36906"/>
    <w:rsid w:val="00A51CB3"/>
    <w:rsid w:val="00A665C8"/>
    <w:rsid w:val="00A666E1"/>
    <w:rsid w:val="00A74837"/>
    <w:rsid w:val="00A773E8"/>
    <w:rsid w:val="00A84CC4"/>
    <w:rsid w:val="00A969FA"/>
    <w:rsid w:val="00AB093F"/>
    <w:rsid w:val="00AB1936"/>
    <w:rsid w:val="00AD0028"/>
    <w:rsid w:val="00AE02A9"/>
    <w:rsid w:val="00AE2ED6"/>
    <w:rsid w:val="00AE6FA4"/>
    <w:rsid w:val="00AF0DFB"/>
    <w:rsid w:val="00AF213E"/>
    <w:rsid w:val="00B03687"/>
    <w:rsid w:val="00B06166"/>
    <w:rsid w:val="00B076D4"/>
    <w:rsid w:val="00B11180"/>
    <w:rsid w:val="00B13924"/>
    <w:rsid w:val="00B20C87"/>
    <w:rsid w:val="00B216E3"/>
    <w:rsid w:val="00B26B53"/>
    <w:rsid w:val="00B35591"/>
    <w:rsid w:val="00B477FF"/>
    <w:rsid w:val="00B541C1"/>
    <w:rsid w:val="00B611EA"/>
    <w:rsid w:val="00B66E0C"/>
    <w:rsid w:val="00B71020"/>
    <w:rsid w:val="00B76743"/>
    <w:rsid w:val="00B80DC9"/>
    <w:rsid w:val="00B8698B"/>
    <w:rsid w:val="00B906F5"/>
    <w:rsid w:val="00B931CB"/>
    <w:rsid w:val="00B9513B"/>
    <w:rsid w:val="00BA4927"/>
    <w:rsid w:val="00BA671D"/>
    <w:rsid w:val="00BB0DE6"/>
    <w:rsid w:val="00BB7771"/>
    <w:rsid w:val="00BC3458"/>
    <w:rsid w:val="00BD1D2A"/>
    <w:rsid w:val="00BE781F"/>
    <w:rsid w:val="00BF3584"/>
    <w:rsid w:val="00C052B8"/>
    <w:rsid w:val="00C05348"/>
    <w:rsid w:val="00C06706"/>
    <w:rsid w:val="00C06C65"/>
    <w:rsid w:val="00C07068"/>
    <w:rsid w:val="00C13ACF"/>
    <w:rsid w:val="00C174F5"/>
    <w:rsid w:val="00C203ED"/>
    <w:rsid w:val="00C34563"/>
    <w:rsid w:val="00C35EB2"/>
    <w:rsid w:val="00C43D0F"/>
    <w:rsid w:val="00C47898"/>
    <w:rsid w:val="00C556F7"/>
    <w:rsid w:val="00C64E8C"/>
    <w:rsid w:val="00C65FFB"/>
    <w:rsid w:val="00C66DAC"/>
    <w:rsid w:val="00C821D4"/>
    <w:rsid w:val="00C944C2"/>
    <w:rsid w:val="00CB2E85"/>
    <w:rsid w:val="00CC3209"/>
    <w:rsid w:val="00CC3CD8"/>
    <w:rsid w:val="00CD0B24"/>
    <w:rsid w:val="00CD6939"/>
    <w:rsid w:val="00CD6E29"/>
    <w:rsid w:val="00CE1B61"/>
    <w:rsid w:val="00CF1BDC"/>
    <w:rsid w:val="00CF3A6C"/>
    <w:rsid w:val="00D04BA5"/>
    <w:rsid w:val="00D11180"/>
    <w:rsid w:val="00D15E83"/>
    <w:rsid w:val="00D16E70"/>
    <w:rsid w:val="00D17682"/>
    <w:rsid w:val="00D24B88"/>
    <w:rsid w:val="00D25906"/>
    <w:rsid w:val="00D25C1E"/>
    <w:rsid w:val="00D27045"/>
    <w:rsid w:val="00D30C8E"/>
    <w:rsid w:val="00D33AA1"/>
    <w:rsid w:val="00D44939"/>
    <w:rsid w:val="00D4791D"/>
    <w:rsid w:val="00D55208"/>
    <w:rsid w:val="00D724F7"/>
    <w:rsid w:val="00D743A2"/>
    <w:rsid w:val="00D75D43"/>
    <w:rsid w:val="00D9428F"/>
    <w:rsid w:val="00DA3A16"/>
    <w:rsid w:val="00DA63A8"/>
    <w:rsid w:val="00DB61E6"/>
    <w:rsid w:val="00DC5608"/>
    <w:rsid w:val="00DD22A9"/>
    <w:rsid w:val="00DE07C4"/>
    <w:rsid w:val="00DE77CE"/>
    <w:rsid w:val="00DF2F7B"/>
    <w:rsid w:val="00E03362"/>
    <w:rsid w:val="00E12FEC"/>
    <w:rsid w:val="00E13C98"/>
    <w:rsid w:val="00E22E15"/>
    <w:rsid w:val="00E40405"/>
    <w:rsid w:val="00E45443"/>
    <w:rsid w:val="00E574BC"/>
    <w:rsid w:val="00E67751"/>
    <w:rsid w:val="00E8631E"/>
    <w:rsid w:val="00E90630"/>
    <w:rsid w:val="00E94F14"/>
    <w:rsid w:val="00E95F25"/>
    <w:rsid w:val="00E97A56"/>
    <w:rsid w:val="00EA4438"/>
    <w:rsid w:val="00EA5D9F"/>
    <w:rsid w:val="00EB0382"/>
    <w:rsid w:val="00EB08ED"/>
    <w:rsid w:val="00EB1C9C"/>
    <w:rsid w:val="00EC0FB6"/>
    <w:rsid w:val="00EC4EFA"/>
    <w:rsid w:val="00ED31E9"/>
    <w:rsid w:val="00ED5F5D"/>
    <w:rsid w:val="00EE6221"/>
    <w:rsid w:val="00EF2C02"/>
    <w:rsid w:val="00F10AB4"/>
    <w:rsid w:val="00F11E5A"/>
    <w:rsid w:val="00F153F3"/>
    <w:rsid w:val="00F15B02"/>
    <w:rsid w:val="00F21435"/>
    <w:rsid w:val="00F36D4A"/>
    <w:rsid w:val="00F53590"/>
    <w:rsid w:val="00F53953"/>
    <w:rsid w:val="00F87EA4"/>
    <w:rsid w:val="00FA4112"/>
    <w:rsid w:val="00FB664C"/>
    <w:rsid w:val="00FB6C17"/>
    <w:rsid w:val="00FC1F05"/>
    <w:rsid w:val="00FC4B3C"/>
    <w:rsid w:val="00FD1981"/>
    <w:rsid w:val="00FD1A1B"/>
    <w:rsid w:val="00FD5E82"/>
    <w:rsid w:val="00FE0BFE"/>
    <w:rsid w:val="00FE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34300F"/>
  <w15:docId w15:val="{013A1F93-3006-4934-B30C-05EC85CA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2B8"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66E0C"/>
    <w:pPr>
      <w:keepNext/>
      <w:keepLines/>
      <w:adjustRightInd/>
      <w:spacing w:before="340" w:after="330" w:line="578" w:lineRule="auto"/>
      <w:ind w:firstLineChars="200" w:firstLine="200"/>
      <w:textAlignment w:val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2B8"/>
    <w:rPr>
      <w:rFonts w:ascii="楷体_GB2312" w:eastAsia="楷体_GB2312"/>
      <w:b/>
      <w:sz w:val="24"/>
    </w:rPr>
  </w:style>
  <w:style w:type="paragraph" w:styleId="a4">
    <w:name w:val="Balloon Text"/>
    <w:basedOn w:val="a"/>
    <w:semiHidden/>
    <w:rsid w:val="00C052B8"/>
    <w:rPr>
      <w:sz w:val="18"/>
      <w:szCs w:val="18"/>
    </w:rPr>
  </w:style>
  <w:style w:type="character" w:styleId="a5">
    <w:name w:val="Hyperlink"/>
    <w:basedOn w:val="a0"/>
    <w:rsid w:val="00C052B8"/>
    <w:rPr>
      <w:color w:val="0000FF"/>
      <w:u w:val="single"/>
    </w:rPr>
  </w:style>
  <w:style w:type="paragraph" w:styleId="a6">
    <w:name w:val="header"/>
    <w:basedOn w:val="a"/>
    <w:rsid w:val="00C052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footer"/>
    <w:basedOn w:val="a"/>
    <w:rsid w:val="00C052B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8">
    <w:name w:val="page number"/>
    <w:basedOn w:val="a0"/>
    <w:rsid w:val="00C052B8"/>
  </w:style>
  <w:style w:type="paragraph" w:customStyle="1" w:styleId="Achievement">
    <w:name w:val="Achievement"/>
    <w:basedOn w:val="a9"/>
    <w:rsid w:val="00C052B8"/>
    <w:pPr>
      <w:pageBreakBefore/>
      <w:adjustRightInd/>
      <w:spacing w:after="60" w:line="220" w:lineRule="atLeast"/>
      <w:textAlignment w:val="auto"/>
    </w:pPr>
    <w:rPr>
      <w:kern w:val="2"/>
    </w:rPr>
  </w:style>
  <w:style w:type="paragraph" w:styleId="a9">
    <w:name w:val="Body Text"/>
    <w:basedOn w:val="a"/>
    <w:rsid w:val="00C052B8"/>
    <w:pPr>
      <w:spacing w:after="120"/>
    </w:pPr>
  </w:style>
  <w:style w:type="paragraph" w:styleId="aa">
    <w:name w:val="Normal (Web)"/>
    <w:basedOn w:val="a"/>
    <w:rsid w:val="005318B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sz w:val="24"/>
      <w:szCs w:val="24"/>
    </w:rPr>
  </w:style>
  <w:style w:type="paragraph" w:customStyle="1" w:styleId="CharCharCharChar">
    <w:name w:val="Char Char Char Char"/>
    <w:basedOn w:val="a"/>
    <w:rsid w:val="0001707E"/>
    <w:pPr>
      <w:widowControl/>
      <w:adjustRightInd/>
      <w:spacing w:after="160" w:line="240" w:lineRule="exact"/>
      <w:jc w:val="left"/>
      <w:textAlignment w:val="auto"/>
    </w:pPr>
    <w:rPr>
      <w:noProof/>
      <w:sz w:val="20"/>
    </w:rPr>
  </w:style>
  <w:style w:type="paragraph" w:styleId="ab">
    <w:name w:val="Document Map"/>
    <w:basedOn w:val="a"/>
    <w:link w:val="ac"/>
    <w:rsid w:val="00975175"/>
    <w:rPr>
      <w:rFonts w:ascii="宋体"/>
      <w:sz w:val="18"/>
      <w:szCs w:val="18"/>
    </w:rPr>
  </w:style>
  <w:style w:type="character" w:customStyle="1" w:styleId="ac">
    <w:name w:val="文档结构图 字符"/>
    <w:basedOn w:val="a0"/>
    <w:link w:val="ab"/>
    <w:rsid w:val="00975175"/>
    <w:rPr>
      <w:rFonts w:ascii="宋体"/>
      <w:sz w:val="18"/>
      <w:szCs w:val="18"/>
    </w:rPr>
  </w:style>
  <w:style w:type="paragraph" w:styleId="ad">
    <w:name w:val="List Paragraph"/>
    <w:basedOn w:val="a"/>
    <w:uiPriority w:val="34"/>
    <w:qFormat/>
    <w:rsid w:val="00B66E0C"/>
    <w:pPr>
      <w:adjustRightInd/>
      <w:spacing w:line="240" w:lineRule="auto"/>
      <w:ind w:firstLineChars="200" w:firstLine="42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10">
    <w:name w:val="标题 1 字符"/>
    <w:basedOn w:val="a0"/>
    <w:link w:val="1"/>
    <w:uiPriority w:val="9"/>
    <w:rsid w:val="00B66E0C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table" w:customStyle="1" w:styleId="11">
    <w:name w:val="网格型1"/>
    <w:basedOn w:val="a1"/>
    <w:uiPriority w:val="59"/>
    <w:rsid w:val="00ED31E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rsid w:val="00ED3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网格型2"/>
    <w:basedOn w:val="a1"/>
    <w:next w:val="ae"/>
    <w:uiPriority w:val="59"/>
    <w:rsid w:val="00DB61E6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annotation reference"/>
    <w:basedOn w:val="a0"/>
    <w:semiHidden/>
    <w:unhideWhenUsed/>
    <w:rsid w:val="003537BF"/>
    <w:rPr>
      <w:sz w:val="21"/>
      <w:szCs w:val="21"/>
    </w:rPr>
  </w:style>
  <w:style w:type="paragraph" w:styleId="af0">
    <w:name w:val="annotation text"/>
    <w:basedOn w:val="a"/>
    <w:link w:val="af1"/>
    <w:semiHidden/>
    <w:unhideWhenUsed/>
    <w:rsid w:val="003537BF"/>
    <w:pPr>
      <w:jc w:val="left"/>
    </w:pPr>
  </w:style>
  <w:style w:type="character" w:customStyle="1" w:styleId="af1">
    <w:name w:val="批注文字 字符"/>
    <w:basedOn w:val="a0"/>
    <w:link w:val="af0"/>
    <w:semiHidden/>
    <w:rsid w:val="003537BF"/>
    <w:rPr>
      <w:sz w:val="21"/>
    </w:rPr>
  </w:style>
  <w:style w:type="paragraph" w:styleId="af2">
    <w:name w:val="annotation subject"/>
    <w:basedOn w:val="af0"/>
    <w:next w:val="af0"/>
    <w:link w:val="af3"/>
    <w:semiHidden/>
    <w:unhideWhenUsed/>
    <w:rsid w:val="003537BF"/>
    <w:rPr>
      <w:b/>
      <w:bCs/>
    </w:rPr>
  </w:style>
  <w:style w:type="character" w:customStyle="1" w:styleId="af3">
    <w:name w:val="批注主题 字符"/>
    <w:basedOn w:val="af1"/>
    <w:link w:val="af2"/>
    <w:semiHidden/>
    <w:rsid w:val="003537BF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BA5E1-7350-4525-807D-2BA37630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Links>
    <vt:vector size="6" baseType="variant">
      <vt:variant>
        <vt:i4>7798804</vt:i4>
      </vt:variant>
      <vt:variant>
        <vt:i4>0</vt:i4>
      </vt:variant>
      <vt:variant>
        <vt:i4>0</vt:i4>
      </vt:variant>
      <vt:variant>
        <vt:i4>5</vt:i4>
      </vt:variant>
      <vt:variant>
        <vt:lpwstr>mailto:600100@thtf.com.cn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证券简称：清华同方          股票代码：600100        编号：临2004－003</dc:title>
  <dc:creator>zhangyuanyuan</dc:creator>
  <cp:lastModifiedBy>吕千</cp:lastModifiedBy>
  <cp:revision>88</cp:revision>
  <cp:lastPrinted>2012-07-23T02:57:00Z</cp:lastPrinted>
  <dcterms:created xsi:type="dcterms:W3CDTF">2018-08-27T08:31:00Z</dcterms:created>
  <dcterms:modified xsi:type="dcterms:W3CDTF">2021-02-24T03:44:00Z</dcterms:modified>
</cp:coreProperties>
</file>